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9D3E" w14:textId="77777777" w:rsidR="008561AD" w:rsidRPr="00EE5A2A" w:rsidRDefault="008561AD" w:rsidP="008561AD">
      <w:pPr>
        <w:contextualSpacing/>
        <w:rPr>
          <w:rFonts w:ascii="Arial" w:hAnsi="Arial" w:cs="Arial"/>
          <w:b/>
        </w:rPr>
      </w:pPr>
      <w:r>
        <w:rPr>
          <w:rFonts w:ascii="Arial" w:hAnsi="Arial" w:cs="Arial"/>
          <w:sz w:val="40"/>
          <w:szCs w:val="40"/>
        </w:rPr>
        <w:t>Rank and Review Committee Minutes</w:t>
      </w:r>
    </w:p>
    <w:p w14:paraId="67F71F93" w14:textId="671DA9B1" w:rsidR="008561AD" w:rsidRPr="00AA58C0" w:rsidRDefault="008D0BE7" w:rsidP="008561AD">
      <w:pPr>
        <w:contextualSpacing/>
        <w:rPr>
          <w:rFonts w:ascii="Arial" w:hAnsi="Arial" w:cs="Arial"/>
          <w:sz w:val="28"/>
          <w:szCs w:val="28"/>
        </w:rPr>
      </w:pPr>
      <w:r>
        <w:rPr>
          <w:rFonts w:ascii="Arial" w:hAnsi="Arial" w:cs="Arial"/>
          <w:sz w:val="28"/>
          <w:szCs w:val="28"/>
        </w:rPr>
        <w:t>August 31</w:t>
      </w:r>
      <w:r w:rsidR="00E75516">
        <w:rPr>
          <w:rFonts w:ascii="Arial" w:hAnsi="Arial" w:cs="Arial"/>
          <w:sz w:val="28"/>
          <w:szCs w:val="28"/>
        </w:rPr>
        <w:t>, 201</w:t>
      </w:r>
      <w:r>
        <w:rPr>
          <w:rFonts w:ascii="Arial" w:hAnsi="Arial" w:cs="Arial"/>
          <w:sz w:val="28"/>
          <w:szCs w:val="28"/>
        </w:rPr>
        <w:t>7 at 10</w:t>
      </w:r>
      <w:r w:rsidR="008561AD" w:rsidRPr="00AA58C0">
        <w:rPr>
          <w:rFonts w:ascii="Arial" w:hAnsi="Arial" w:cs="Arial"/>
          <w:sz w:val="28"/>
          <w:szCs w:val="28"/>
        </w:rPr>
        <w:t>:00</w:t>
      </w:r>
      <w:r w:rsidR="008561AD">
        <w:rPr>
          <w:rFonts w:ascii="Arial" w:hAnsi="Arial" w:cs="Arial"/>
          <w:sz w:val="28"/>
          <w:szCs w:val="28"/>
        </w:rPr>
        <w:t xml:space="preserve"> </w:t>
      </w:r>
      <w:r>
        <w:rPr>
          <w:rFonts w:ascii="Arial" w:hAnsi="Arial" w:cs="Arial"/>
          <w:sz w:val="28"/>
          <w:szCs w:val="28"/>
        </w:rPr>
        <w:t>a</w:t>
      </w:r>
      <w:r w:rsidR="008561AD">
        <w:rPr>
          <w:rFonts w:ascii="Arial" w:hAnsi="Arial" w:cs="Arial"/>
          <w:sz w:val="28"/>
          <w:szCs w:val="28"/>
        </w:rPr>
        <w:t>m</w:t>
      </w:r>
    </w:p>
    <w:p w14:paraId="0E833242" w14:textId="71559A25" w:rsidR="008561AD" w:rsidRPr="00AA58C0" w:rsidRDefault="008561AD" w:rsidP="008561AD">
      <w:pPr>
        <w:contextualSpacing/>
        <w:rPr>
          <w:rFonts w:ascii="Arial" w:hAnsi="Arial" w:cs="Arial"/>
          <w:sz w:val="28"/>
          <w:szCs w:val="28"/>
        </w:rPr>
      </w:pPr>
      <w:r>
        <w:rPr>
          <w:rFonts w:ascii="Arial" w:hAnsi="Arial" w:cs="Arial"/>
          <w:sz w:val="28"/>
          <w:szCs w:val="28"/>
        </w:rPr>
        <w:t>United Way of Utah County, 148 N</w:t>
      </w:r>
      <w:r w:rsidR="00AE0A9A">
        <w:rPr>
          <w:rFonts w:ascii="Arial" w:hAnsi="Arial" w:cs="Arial"/>
          <w:sz w:val="28"/>
          <w:szCs w:val="28"/>
        </w:rPr>
        <w:t xml:space="preserve">orth 100 West, Provo, UT 84603 </w:t>
      </w:r>
    </w:p>
    <w:p w14:paraId="5A2BB803" w14:textId="77777777" w:rsidR="008561AD" w:rsidRPr="00EE5A2A" w:rsidRDefault="008561AD" w:rsidP="008561AD">
      <w:pPr>
        <w:contextualSpacing/>
        <w:rPr>
          <w:rFonts w:ascii="Arial" w:hAnsi="Arial" w:cs="Arial"/>
          <w:b/>
        </w:rPr>
      </w:pPr>
    </w:p>
    <w:p w14:paraId="5A3F211B" w14:textId="77777777" w:rsidR="008561AD" w:rsidRPr="00431E87" w:rsidRDefault="008561AD" w:rsidP="008561AD">
      <w:pPr>
        <w:contextualSpacing/>
        <w:rPr>
          <w:rFonts w:ascii="Arial" w:hAnsi="Arial" w:cs="Arial"/>
          <w:sz w:val="24"/>
          <w:szCs w:val="24"/>
          <w:u w:val="single"/>
        </w:rPr>
      </w:pPr>
      <w:r w:rsidRPr="00431E87">
        <w:rPr>
          <w:rFonts w:ascii="Arial" w:hAnsi="Arial" w:cs="Arial"/>
          <w:sz w:val="24"/>
          <w:szCs w:val="24"/>
          <w:u w:val="single"/>
        </w:rPr>
        <w:t>Members present:</w:t>
      </w:r>
    </w:p>
    <w:p w14:paraId="42E5F6BB" w14:textId="58A03413" w:rsidR="008561AD" w:rsidRDefault="008D0BE7" w:rsidP="008561AD">
      <w:pPr>
        <w:contextualSpacing/>
        <w:rPr>
          <w:rFonts w:ascii="Arial" w:hAnsi="Arial" w:cs="Arial"/>
        </w:rPr>
      </w:pPr>
      <w:proofErr w:type="spellStart"/>
      <w:r>
        <w:rPr>
          <w:rFonts w:ascii="Arial" w:hAnsi="Arial" w:cs="Arial"/>
        </w:rPr>
        <w:t>Kena</w:t>
      </w:r>
      <w:proofErr w:type="spellEnd"/>
      <w:r>
        <w:rPr>
          <w:rFonts w:ascii="Arial" w:hAnsi="Arial" w:cs="Arial"/>
        </w:rPr>
        <w:t xml:space="preserve"> Mathews- Habitat for Humanity</w:t>
      </w:r>
    </w:p>
    <w:p w14:paraId="5E38E9E8" w14:textId="311C8829" w:rsidR="008561AD" w:rsidRDefault="008561AD" w:rsidP="008561AD">
      <w:pPr>
        <w:contextualSpacing/>
        <w:rPr>
          <w:rFonts w:ascii="Arial" w:hAnsi="Arial" w:cs="Arial"/>
        </w:rPr>
      </w:pPr>
      <w:r>
        <w:rPr>
          <w:rFonts w:ascii="Arial" w:hAnsi="Arial" w:cs="Arial"/>
        </w:rPr>
        <w:t xml:space="preserve">Jessica </w:t>
      </w:r>
      <w:proofErr w:type="spellStart"/>
      <w:r>
        <w:rPr>
          <w:rFonts w:ascii="Arial" w:hAnsi="Arial" w:cs="Arial"/>
        </w:rPr>
        <w:t>DeLora</w:t>
      </w:r>
      <w:proofErr w:type="spellEnd"/>
      <w:r>
        <w:rPr>
          <w:rFonts w:ascii="Arial" w:hAnsi="Arial" w:cs="Arial"/>
        </w:rPr>
        <w:t>-</w:t>
      </w:r>
      <w:r w:rsidR="00F069EB">
        <w:rPr>
          <w:rFonts w:ascii="Arial" w:hAnsi="Arial" w:cs="Arial"/>
        </w:rPr>
        <w:t xml:space="preserve"> </w:t>
      </w:r>
      <w:proofErr w:type="spellStart"/>
      <w:r>
        <w:rPr>
          <w:rFonts w:ascii="Arial" w:hAnsi="Arial" w:cs="Arial"/>
        </w:rPr>
        <w:t>Mountainland</w:t>
      </w:r>
      <w:proofErr w:type="spellEnd"/>
      <w:r>
        <w:rPr>
          <w:rFonts w:ascii="Arial" w:hAnsi="Arial" w:cs="Arial"/>
        </w:rPr>
        <w:t xml:space="preserve"> Association of Governments</w:t>
      </w:r>
    </w:p>
    <w:p w14:paraId="48724F2F" w14:textId="2EA05D98" w:rsidR="008561AD" w:rsidRDefault="008D0BE7" w:rsidP="008561AD">
      <w:pPr>
        <w:contextualSpacing/>
        <w:rPr>
          <w:rFonts w:ascii="Arial" w:hAnsi="Arial" w:cs="Arial"/>
        </w:rPr>
      </w:pPr>
      <w:r>
        <w:rPr>
          <w:rFonts w:ascii="Arial" w:hAnsi="Arial" w:cs="Arial"/>
        </w:rPr>
        <w:t xml:space="preserve">Jennifer </w:t>
      </w:r>
      <w:proofErr w:type="spellStart"/>
      <w:r>
        <w:rPr>
          <w:rFonts w:ascii="Arial" w:hAnsi="Arial" w:cs="Arial"/>
        </w:rPr>
        <w:t>Sisoutham</w:t>
      </w:r>
      <w:proofErr w:type="spellEnd"/>
      <w:r>
        <w:rPr>
          <w:rFonts w:ascii="Arial" w:hAnsi="Arial" w:cs="Arial"/>
        </w:rPr>
        <w:t>-</w:t>
      </w:r>
      <w:r w:rsidR="00F069EB">
        <w:rPr>
          <w:rFonts w:ascii="Arial" w:hAnsi="Arial" w:cs="Arial"/>
        </w:rPr>
        <w:t xml:space="preserve"> </w:t>
      </w:r>
      <w:r>
        <w:rPr>
          <w:rFonts w:ascii="Arial" w:hAnsi="Arial" w:cs="Arial"/>
        </w:rPr>
        <w:t>Orem City</w:t>
      </w:r>
    </w:p>
    <w:p w14:paraId="3F87D1AB" w14:textId="5D69BB77" w:rsidR="009179CF" w:rsidRDefault="008561AD" w:rsidP="008561AD">
      <w:pPr>
        <w:contextualSpacing/>
        <w:rPr>
          <w:rFonts w:ascii="Arial" w:hAnsi="Arial" w:cs="Arial"/>
        </w:rPr>
      </w:pPr>
      <w:r>
        <w:rPr>
          <w:rFonts w:ascii="Arial" w:hAnsi="Arial" w:cs="Arial"/>
        </w:rPr>
        <w:t>Stephanie Willmore- United Way of Utah County</w:t>
      </w:r>
      <w:r w:rsidR="008D0BE7">
        <w:rPr>
          <w:rFonts w:ascii="Arial" w:hAnsi="Arial" w:cs="Arial"/>
        </w:rPr>
        <w:t xml:space="preserve"> (facilitator</w:t>
      </w:r>
      <w:r w:rsidR="009179CF">
        <w:rPr>
          <w:rFonts w:ascii="Arial" w:hAnsi="Arial" w:cs="Arial"/>
        </w:rPr>
        <w:t>)</w:t>
      </w:r>
    </w:p>
    <w:p w14:paraId="3C499B09" w14:textId="6AF2A593" w:rsidR="008D0BE7" w:rsidRDefault="008D0BE7" w:rsidP="008561AD">
      <w:pPr>
        <w:contextualSpacing/>
        <w:rPr>
          <w:rFonts w:ascii="Arial" w:hAnsi="Arial" w:cs="Arial"/>
        </w:rPr>
      </w:pPr>
      <w:r>
        <w:rPr>
          <w:rFonts w:ascii="Arial" w:hAnsi="Arial" w:cs="Arial"/>
        </w:rPr>
        <w:t>Karen Hale- United Way of Utah County (recorder)</w:t>
      </w:r>
    </w:p>
    <w:p w14:paraId="1C82BB9D" w14:textId="77777777" w:rsidR="00E75516" w:rsidRDefault="00E75516" w:rsidP="008561AD">
      <w:pPr>
        <w:contextualSpacing/>
        <w:rPr>
          <w:rFonts w:ascii="Arial" w:hAnsi="Arial" w:cs="Arial"/>
        </w:rPr>
      </w:pPr>
    </w:p>
    <w:p w14:paraId="5E6433D9" w14:textId="77777777" w:rsidR="008561AD" w:rsidRDefault="00E75516" w:rsidP="008561AD">
      <w:pPr>
        <w:contextualSpacing/>
        <w:rPr>
          <w:rFonts w:ascii="Arial" w:hAnsi="Arial" w:cs="Arial"/>
          <w:u w:val="single"/>
        </w:rPr>
      </w:pPr>
      <w:r>
        <w:rPr>
          <w:rFonts w:ascii="Arial" w:hAnsi="Arial" w:cs="Arial"/>
          <w:u w:val="single"/>
        </w:rPr>
        <w:t>Members absent:</w:t>
      </w:r>
    </w:p>
    <w:p w14:paraId="4526066A" w14:textId="07A4476E" w:rsidR="00E75516" w:rsidRDefault="008D0BE7" w:rsidP="008561AD">
      <w:pPr>
        <w:contextualSpacing/>
        <w:rPr>
          <w:rFonts w:ascii="Arial" w:hAnsi="Arial" w:cs="Arial"/>
        </w:rPr>
      </w:pPr>
      <w:r>
        <w:rPr>
          <w:rFonts w:ascii="Arial" w:hAnsi="Arial" w:cs="Arial"/>
        </w:rPr>
        <w:t>Beth Armstrong- People’s Health Clinic</w:t>
      </w:r>
    </w:p>
    <w:p w14:paraId="4454FA70" w14:textId="59335BBF" w:rsidR="008D0BE7" w:rsidRPr="00E75516" w:rsidRDefault="008D0BE7" w:rsidP="008561AD">
      <w:pPr>
        <w:contextualSpacing/>
        <w:rPr>
          <w:rFonts w:ascii="Arial" w:hAnsi="Arial" w:cs="Arial"/>
        </w:rPr>
      </w:pPr>
      <w:r>
        <w:rPr>
          <w:rFonts w:ascii="Arial" w:hAnsi="Arial" w:cs="Arial"/>
        </w:rPr>
        <w:t>Dan Gonzalez-</w:t>
      </w:r>
      <w:r w:rsidR="00F069EB">
        <w:rPr>
          <w:rFonts w:ascii="Arial" w:hAnsi="Arial" w:cs="Arial"/>
        </w:rPr>
        <w:t xml:space="preserve"> </w:t>
      </w:r>
      <w:r>
        <w:rPr>
          <w:rFonts w:ascii="Arial" w:hAnsi="Arial" w:cs="Arial"/>
        </w:rPr>
        <w:t>Provo City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5"/>
      </w:tblGrid>
      <w:tr w:rsidR="00CB6162" w:rsidRPr="008B0B79" w14:paraId="4FBCA85F" w14:textId="77777777" w:rsidTr="00CB6162">
        <w:tc>
          <w:tcPr>
            <w:tcW w:w="9265" w:type="dxa"/>
            <w:shd w:val="clear" w:color="auto" w:fill="auto"/>
          </w:tcPr>
          <w:p w14:paraId="5ED0F0A4" w14:textId="77777777" w:rsidR="00CB6162" w:rsidRDefault="00CB6162" w:rsidP="005E57EE">
            <w:pPr>
              <w:contextualSpacing/>
              <w:rPr>
                <w:rFonts w:ascii="Arial" w:hAnsi="Arial" w:cs="Arial"/>
                <w:b/>
              </w:rPr>
            </w:pPr>
            <w:r w:rsidRPr="008B0B79">
              <w:rPr>
                <w:rFonts w:ascii="Arial" w:hAnsi="Arial" w:cs="Arial"/>
                <w:b/>
              </w:rPr>
              <w:t>Welcome and introductions</w:t>
            </w:r>
          </w:p>
          <w:p w14:paraId="640E2F1B" w14:textId="3BB2405D" w:rsidR="00CB6162" w:rsidRDefault="00CB6162" w:rsidP="008D0BE7">
            <w:pPr>
              <w:spacing w:after="0" w:line="240" w:lineRule="auto"/>
              <w:rPr>
                <w:rFonts w:ascii="Arial" w:hAnsi="Arial" w:cs="Arial"/>
              </w:rPr>
            </w:pPr>
            <w:r w:rsidRPr="008D0BE7">
              <w:rPr>
                <w:rFonts w:ascii="Arial" w:hAnsi="Arial" w:cs="Arial"/>
              </w:rPr>
              <w:t xml:space="preserve">Due to an issue with the conference call line, Beth Armstrong was unable to call in, but sent her project scores </w:t>
            </w:r>
            <w:r>
              <w:rPr>
                <w:rFonts w:ascii="Arial" w:hAnsi="Arial" w:cs="Arial"/>
              </w:rPr>
              <w:t>according to the project criteria</w:t>
            </w:r>
            <w:r w:rsidRPr="008D0BE7">
              <w:rPr>
                <w:rFonts w:ascii="Arial" w:hAnsi="Arial" w:cs="Arial"/>
              </w:rPr>
              <w:t>. These were considered during the ranking process.</w:t>
            </w:r>
          </w:p>
          <w:p w14:paraId="35B62B45" w14:textId="28A6D839" w:rsidR="00BF4016" w:rsidRDefault="00BF4016" w:rsidP="008D0BE7">
            <w:pPr>
              <w:spacing w:after="0" w:line="240" w:lineRule="auto"/>
              <w:rPr>
                <w:rFonts w:ascii="Arial" w:hAnsi="Arial" w:cs="Arial"/>
              </w:rPr>
            </w:pPr>
          </w:p>
          <w:p w14:paraId="4888570B" w14:textId="15B46D0D" w:rsidR="00992F53" w:rsidRDefault="00992F53" w:rsidP="008D0BE7">
            <w:pPr>
              <w:spacing w:after="0" w:line="240" w:lineRule="auto"/>
              <w:rPr>
                <w:rFonts w:ascii="Arial" w:hAnsi="Arial" w:cs="Arial"/>
              </w:rPr>
            </w:pPr>
            <w:r w:rsidRPr="00BF4016">
              <w:rPr>
                <w:rFonts w:ascii="Arial" w:hAnsi="Arial" w:cs="Arial"/>
              </w:rPr>
              <w:t>Dan Gonzalez</w:t>
            </w:r>
            <w:r w:rsidR="00BF4016" w:rsidRPr="00BF4016">
              <w:rPr>
                <w:rFonts w:ascii="Arial" w:hAnsi="Arial" w:cs="Arial"/>
              </w:rPr>
              <w:t xml:space="preserve"> missed the meeting due to an unforeseen conflict with another prior engagement that went longer than intended.</w:t>
            </w:r>
            <w:r w:rsidR="00BF4016">
              <w:rPr>
                <w:rFonts w:ascii="Arial" w:hAnsi="Arial" w:cs="Arial"/>
              </w:rPr>
              <w:t xml:space="preserve"> He also weighed into one decision via email. </w:t>
            </w:r>
          </w:p>
          <w:p w14:paraId="10AC9F25" w14:textId="38565BD8" w:rsidR="00CB6162" w:rsidRPr="00E75516" w:rsidRDefault="00CB6162" w:rsidP="008D0BE7">
            <w:pPr>
              <w:spacing w:after="0" w:line="240" w:lineRule="auto"/>
              <w:rPr>
                <w:rFonts w:ascii="Arial" w:hAnsi="Arial" w:cs="Arial"/>
              </w:rPr>
            </w:pPr>
          </w:p>
        </w:tc>
      </w:tr>
      <w:tr w:rsidR="00CB6162" w:rsidRPr="008B0B79" w14:paraId="315A261E" w14:textId="77777777" w:rsidTr="00CB6162">
        <w:tc>
          <w:tcPr>
            <w:tcW w:w="9265" w:type="dxa"/>
          </w:tcPr>
          <w:p w14:paraId="13941B5B" w14:textId="29AD5AA0" w:rsidR="00CB6162" w:rsidRDefault="00CB6162" w:rsidP="005E57EE">
            <w:pPr>
              <w:spacing w:after="0" w:line="240" w:lineRule="auto"/>
              <w:contextualSpacing/>
              <w:rPr>
                <w:rFonts w:ascii="Arial" w:hAnsi="Arial"/>
              </w:rPr>
            </w:pPr>
            <w:r>
              <w:rPr>
                <w:rFonts w:ascii="Arial" w:hAnsi="Arial"/>
                <w:b/>
              </w:rPr>
              <w:t>Instructions and guidance for review:</w:t>
            </w:r>
          </w:p>
          <w:p w14:paraId="0571546A" w14:textId="1785C353" w:rsidR="00CB6162" w:rsidRPr="008D0BE7" w:rsidRDefault="00CB6162" w:rsidP="005E57EE">
            <w:pPr>
              <w:spacing w:after="0" w:line="240" w:lineRule="auto"/>
              <w:contextualSpacing/>
              <w:rPr>
                <w:rFonts w:ascii="Arial" w:hAnsi="Arial" w:cs="Arial"/>
              </w:rPr>
            </w:pPr>
            <w:r>
              <w:rPr>
                <w:rFonts w:ascii="Arial" w:hAnsi="Arial"/>
              </w:rPr>
              <w:t xml:space="preserve">Each member of the committee was given access to each of the project summaries, applications, and supplemental information via </w:t>
            </w:r>
            <w:r w:rsidRPr="008D0BE7">
              <w:rPr>
                <w:rFonts w:ascii="Arial" w:hAnsi="Arial" w:cs="Arial"/>
              </w:rPr>
              <w:t xml:space="preserve">Google Drive on </w:t>
            </w:r>
            <w:r w:rsidRPr="00BF4016">
              <w:rPr>
                <w:rFonts w:ascii="Arial" w:hAnsi="Arial" w:cs="Arial"/>
              </w:rPr>
              <w:t>August 25</w:t>
            </w:r>
            <w:r w:rsidRPr="00BF4016">
              <w:rPr>
                <w:rFonts w:ascii="Arial" w:hAnsi="Arial" w:cs="Arial"/>
                <w:vertAlign w:val="superscript"/>
              </w:rPr>
              <w:t>th</w:t>
            </w:r>
            <w:r w:rsidRPr="008D0BE7">
              <w:rPr>
                <w:rFonts w:ascii="Arial" w:hAnsi="Arial" w:cs="Arial"/>
              </w:rPr>
              <w:t xml:space="preserve">. </w:t>
            </w:r>
            <w:r>
              <w:rPr>
                <w:rFonts w:ascii="Arial" w:hAnsi="Arial"/>
              </w:rPr>
              <w:t>The committee members used the project review criteria</w:t>
            </w:r>
            <w:r w:rsidR="00992F53">
              <w:rPr>
                <w:rFonts w:ascii="Arial" w:hAnsi="Arial"/>
              </w:rPr>
              <w:t>, project summaries, instructions</w:t>
            </w:r>
            <w:r>
              <w:rPr>
                <w:rFonts w:ascii="Arial" w:hAnsi="Arial"/>
              </w:rPr>
              <w:t>, and a ranking tool that allowed them to calculate the amount ranked in their listing. This allowed them to create their own initial ranking scores.</w:t>
            </w:r>
          </w:p>
          <w:p w14:paraId="4E4D3A41" w14:textId="77777777" w:rsidR="00CB6162" w:rsidRPr="008D0BE7" w:rsidRDefault="00CB6162" w:rsidP="005E57EE">
            <w:pPr>
              <w:spacing w:after="0" w:line="240" w:lineRule="auto"/>
              <w:contextualSpacing/>
              <w:rPr>
                <w:rFonts w:ascii="Arial" w:hAnsi="Arial" w:cs="Arial"/>
              </w:rPr>
            </w:pPr>
          </w:p>
          <w:p w14:paraId="4D73C8C9" w14:textId="362FBCF9" w:rsidR="00CB6162" w:rsidRPr="008D0BE7" w:rsidRDefault="00CB6162" w:rsidP="005E57EE">
            <w:pPr>
              <w:spacing w:after="0" w:line="240" w:lineRule="auto"/>
              <w:contextualSpacing/>
              <w:rPr>
                <w:rFonts w:ascii="Arial" w:hAnsi="Arial" w:cs="Arial"/>
              </w:rPr>
            </w:pPr>
            <w:r w:rsidRPr="008D0BE7">
              <w:rPr>
                <w:rFonts w:ascii="Arial" w:hAnsi="Arial" w:cs="Arial"/>
              </w:rPr>
              <w:t>The committee w</w:t>
            </w:r>
            <w:r w:rsidR="00992F53">
              <w:rPr>
                <w:rFonts w:ascii="Arial" w:hAnsi="Arial" w:cs="Arial"/>
              </w:rPr>
              <w:t>orked</w:t>
            </w:r>
            <w:r w:rsidRPr="008D0BE7">
              <w:rPr>
                <w:rFonts w:ascii="Arial" w:hAnsi="Arial" w:cs="Arial"/>
              </w:rPr>
              <w:t xml:space="preserve"> through a few of the applications and rank and review criteria together to make sure everyone was on the same page for how to score projects. After going through three projects together, the committee felt confident each member understood the scoring process. Committee members then provided their score for each section of criteria. Total scores for projects</w:t>
            </w:r>
            <w:r w:rsidR="00BF4016">
              <w:rPr>
                <w:rFonts w:ascii="Arial" w:hAnsi="Arial" w:cs="Arial"/>
              </w:rPr>
              <w:t xml:space="preserve"> per committee member</w:t>
            </w:r>
            <w:r w:rsidRPr="008D0BE7">
              <w:rPr>
                <w:rFonts w:ascii="Arial" w:hAnsi="Arial" w:cs="Arial"/>
              </w:rPr>
              <w:t xml:space="preserve"> were averaged to reach the final score</w:t>
            </w:r>
            <w:r w:rsidR="00BF4016">
              <w:rPr>
                <w:rFonts w:ascii="Arial" w:hAnsi="Arial" w:cs="Arial"/>
              </w:rPr>
              <w:t xml:space="preserve"> per project</w:t>
            </w:r>
            <w:r w:rsidRPr="008D0BE7">
              <w:rPr>
                <w:rFonts w:ascii="Arial" w:hAnsi="Arial" w:cs="Arial"/>
              </w:rPr>
              <w:t>.</w:t>
            </w:r>
          </w:p>
          <w:p w14:paraId="5D356913" w14:textId="77777777" w:rsidR="00CB6162" w:rsidRDefault="00CB6162" w:rsidP="005E57EE">
            <w:pPr>
              <w:spacing w:after="0" w:line="240" w:lineRule="auto"/>
              <w:contextualSpacing/>
              <w:rPr>
                <w:rFonts w:ascii="Arial" w:hAnsi="Arial"/>
              </w:rPr>
            </w:pPr>
          </w:p>
          <w:p w14:paraId="33EA398B" w14:textId="5F182528" w:rsidR="00CB6162" w:rsidRDefault="00CB6162" w:rsidP="005E57EE">
            <w:pPr>
              <w:spacing w:after="0" w:line="240" w:lineRule="auto"/>
              <w:contextualSpacing/>
              <w:rPr>
                <w:rFonts w:ascii="Arial" w:hAnsi="Arial"/>
              </w:rPr>
            </w:pPr>
            <w:r>
              <w:rPr>
                <w:rFonts w:ascii="Arial" w:hAnsi="Arial"/>
              </w:rPr>
              <w:t xml:space="preserve">There were twelve </w:t>
            </w:r>
            <w:r w:rsidR="00992F53">
              <w:rPr>
                <w:rFonts w:ascii="Arial" w:hAnsi="Arial"/>
              </w:rPr>
              <w:t>projects submitted in total. N</w:t>
            </w:r>
            <w:r>
              <w:rPr>
                <w:rFonts w:ascii="Arial" w:hAnsi="Arial"/>
              </w:rPr>
              <w:t>ine</w:t>
            </w:r>
            <w:r w:rsidR="00992F53">
              <w:rPr>
                <w:rFonts w:ascii="Arial" w:hAnsi="Arial"/>
              </w:rPr>
              <w:t xml:space="preserve"> renewal projects</w:t>
            </w:r>
            <w:r>
              <w:rPr>
                <w:rFonts w:ascii="Arial" w:hAnsi="Arial"/>
              </w:rPr>
              <w:t xml:space="preserve"> including</w:t>
            </w:r>
            <w:r w:rsidR="00992F53">
              <w:rPr>
                <w:rFonts w:ascii="Arial" w:hAnsi="Arial"/>
              </w:rPr>
              <w:t>:</w:t>
            </w:r>
            <w:r>
              <w:rPr>
                <w:rFonts w:ascii="Arial" w:hAnsi="Arial"/>
              </w:rPr>
              <w:t xml:space="preserve"> one PSH project from Provo City Housing Authority, one PSH project from Housing Authority of Utah County, one PSH project from Golden Spike Outreach, one RRH project from Community Actio</w:t>
            </w:r>
            <w:r w:rsidR="00992F53">
              <w:rPr>
                <w:rFonts w:ascii="Arial" w:hAnsi="Arial"/>
              </w:rPr>
              <w:t xml:space="preserve">n Services and Food Bank/Peace House, </w:t>
            </w:r>
            <w:r>
              <w:rPr>
                <w:rFonts w:ascii="Arial" w:hAnsi="Arial"/>
              </w:rPr>
              <w:t xml:space="preserve">one SSO project from Community Action Services and Food Bank, two RRH Youth projects from Community Action Services and Food Bank, </w:t>
            </w:r>
            <w:r w:rsidR="00992F53">
              <w:rPr>
                <w:rFonts w:ascii="Arial" w:hAnsi="Arial"/>
              </w:rPr>
              <w:t xml:space="preserve">and </w:t>
            </w:r>
            <w:r>
              <w:rPr>
                <w:rFonts w:ascii="Arial" w:hAnsi="Arial"/>
              </w:rPr>
              <w:t>one HMIS project from the Department of Workforce Services</w:t>
            </w:r>
            <w:r w:rsidR="00992F53">
              <w:rPr>
                <w:rFonts w:ascii="Arial" w:hAnsi="Arial"/>
              </w:rPr>
              <w:t xml:space="preserve">. There were </w:t>
            </w:r>
            <w:r>
              <w:rPr>
                <w:rFonts w:ascii="Arial" w:hAnsi="Arial"/>
              </w:rPr>
              <w:lastRenderedPageBreak/>
              <w:t>three</w:t>
            </w:r>
            <w:r w:rsidR="00992F53">
              <w:rPr>
                <w:rFonts w:ascii="Arial" w:hAnsi="Arial"/>
              </w:rPr>
              <w:t xml:space="preserve"> new projects:</w:t>
            </w:r>
            <w:r>
              <w:rPr>
                <w:rFonts w:ascii="Arial" w:hAnsi="Arial"/>
              </w:rPr>
              <w:t xml:space="preserve"> one Joint TH-RRH Project from Center for Women and Children in Crisis and two PSH Expansions (PCHA and HAUC).  </w:t>
            </w:r>
          </w:p>
          <w:p w14:paraId="3BAE47E9" w14:textId="77777777" w:rsidR="00CB6162" w:rsidRDefault="00CB6162" w:rsidP="005E57EE">
            <w:pPr>
              <w:spacing w:after="0" w:line="240" w:lineRule="auto"/>
              <w:contextualSpacing/>
              <w:rPr>
                <w:rFonts w:ascii="Arial" w:hAnsi="Arial"/>
              </w:rPr>
            </w:pPr>
          </w:p>
          <w:p w14:paraId="4D5EDECA" w14:textId="35869CAA" w:rsidR="00CB6162" w:rsidRDefault="00CB6162" w:rsidP="00CB6162">
            <w:pPr>
              <w:spacing w:after="0" w:line="240" w:lineRule="auto"/>
              <w:contextualSpacing/>
              <w:rPr>
                <w:rFonts w:ascii="Arial" w:hAnsi="Arial"/>
              </w:rPr>
            </w:pPr>
            <w:r>
              <w:rPr>
                <w:rFonts w:ascii="Arial" w:hAnsi="Arial"/>
              </w:rPr>
              <w:t xml:space="preserve">Information was provided about the amount of funding available in Tier 1 and Tier 2 in this year’s NOFA, as well as bonus funding available for PSH. The Continuum’s ARD for 2017 was $1,104,368.00. Tier one funding included: $949,196.00 and tier two funding included: $94,585.00. Stephanie reminded the group that Tier 1 projects were typically more likely to get funded, and that Tier 2 projects were subject to more scrutiny through a national competition dependent on the </w:t>
            </w:r>
            <w:proofErr w:type="spellStart"/>
            <w:r>
              <w:rPr>
                <w:rFonts w:ascii="Arial" w:hAnsi="Arial"/>
              </w:rPr>
              <w:t>CoC’s</w:t>
            </w:r>
            <w:proofErr w:type="spellEnd"/>
            <w:r>
              <w:rPr>
                <w:rFonts w:ascii="Arial" w:hAnsi="Arial"/>
              </w:rPr>
              <w:t xml:space="preserve"> overall collaborative application score.</w:t>
            </w:r>
          </w:p>
          <w:p w14:paraId="0834F449" w14:textId="728C55C8" w:rsidR="00C95348" w:rsidRDefault="00C95348" w:rsidP="00CB6162">
            <w:pPr>
              <w:spacing w:after="0" w:line="240" w:lineRule="auto"/>
              <w:contextualSpacing/>
              <w:rPr>
                <w:rFonts w:ascii="Arial" w:hAnsi="Arial"/>
              </w:rPr>
            </w:pPr>
          </w:p>
          <w:p w14:paraId="0CC3BB84" w14:textId="6B7AFAEB" w:rsidR="00C95348" w:rsidRDefault="00C95348" w:rsidP="00CB6162">
            <w:pPr>
              <w:spacing w:after="0" w:line="240" w:lineRule="auto"/>
              <w:contextualSpacing/>
              <w:rPr>
                <w:rFonts w:ascii="Arial" w:hAnsi="Arial"/>
              </w:rPr>
            </w:pPr>
            <w:r>
              <w:rPr>
                <w:rFonts w:ascii="Arial" w:hAnsi="Arial"/>
              </w:rPr>
              <w:t>Two issues were discussed amo</w:t>
            </w:r>
            <w:r w:rsidR="0037762A">
              <w:rPr>
                <w:rFonts w:ascii="Arial" w:hAnsi="Arial"/>
              </w:rPr>
              <w:t xml:space="preserve">ng the committee-whether </w:t>
            </w:r>
            <w:r>
              <w:rPr>
                <w:rFonts w:ascii="Arial" w:hAnsi="Arial"/>
              </w:rPr>
              <w:t>all the applications met the full threshold requirements and</w:t>
            </w:r>
            <w:r w:rsidR="0037762A">
              <w:rPr>
                <w:rFonts w:ascii="Arial" w:hAnsi="Arial"/>
              </w:rPr>
              <w:t xml:space="preserve"> maintained</w:t>
            </w:r>
            <w:r>
              <w:rPr>
                <w:rFonts w:ascii="Arial" w:hAnsi="Arial"/>
              </w:rPr>
              <w:t xml:space="preserve"> adequate performance, and whether or not reallocation would be con</w:t>
            </w:r>
            <w:r w:rsidR="0037762A">
              <w:rPr>
                <w:rFonts w:ascii="Arial" w:hAnsi="Arial"/>
              </w:rPr>
              <w:t>sidered from any of the renewal</w:t>
            </w:r>
            <w:r>
              <w:rPr>
                <w:rFonts w:ascii="Arial" w:hAnsi="Arial"/>
              </w:rPr>
              <w:t xml:space="preserve"> projects</w:t>
            </w:r>
            <w:r w:rsidR="0037762A">
              <w:rPr>
                <w:rFonts w:ascii="Arial" w:hAnsi="Arial"/>
              </w:rPr>
              <w:t xml:space="preserve"> (excluding first-time renewals)</w:t>
            </w:r>
            <w:r>
              <w:rPr>
                <w:rFonts w:ascii="Arial" w:hAnsi="Arial"/>
              </w:rPr>
              <w:t>. After thorough discussion, only one project was questioned about meeting the threshold requirements for funding, and ultimately was ranked with the rest of the list due to local need but</w:t>
            </w:r>
            <w:r w:rsidR="0037762A">
              <w:rPr>
                <w:rFonts w:ascii="Arial" w:hAnsi="Arial"/>
              </w:rPr>
              <w:t xml:space="preserve"> </w:t>
            </w:r>
            <w:r>
              <w:rPr>
                <w:rFonts w:ascii="Arial" w:hAnsi="Arial"/>
              </w:rPr>
              <w:t xml:space="preserve">with a low score. No project was deemed necessary for reallocation due to local need and adequate performance. Therefore, all projects would only be funded through the total ARD and permanent housing bonus total. </w:t>
            </w:r>
          </w:p>
          <w:p w14:paraId="2F7718DC" w14:textId="341965B0" w:rsidR="00CB6162" w:rsidRPr="00AB551B" w:rsidRDefault="00CB6162" w:rsidP="00CB6162">
            <w:pPr>
              <w:spacing w:after="0" w:line="240" w:lineRule="auto"/>
              <w:contextualSpacing/>
              <w:rPr>
                <w:rFonts w:ascii="Arial" w:hAnsi="Arial"/>
              </w:rPr>
            </w:pPr>
          </w:p>
        </w:tc>
      </w:tr>
      <w:tr w:rsidR="00CB6162" w:rsidRPr="008B0B79" w14:paraId="1729DA50" w14:textId="77777777" w:rsidTr="00CB6162">
        <w:tc>
          <w:tcPr>
            <w:tcW w:w="9265" w:type="dxa"/>
          </w:tcPr>
          <w:p w14:paraId="53DAA080" w14:textId="103D6C41" w:rsidR="00CB6162" w:rsidRPr="008B0B79" w:rsidRDefault="00CB6162" w:rsidP="005E57EE">
            <w:pPr>
              <w:spacing w:line="240" w:lineRule="auto"/>
              <w:contextualSpacing/>
              <w:rPr>
                <w:rFonts w:ascii="Arial" w:hAnsi="Arial"/>
                <w:b/>
              </w:rPr>
            </w:pPr>
            <w:r>
              <w:rPr>
                <w:rFonts w:ascii="Arial" w:hAnsi="Arial"/>
                <w:b/>
              </w:rPr>
              <w:lastRenderedPageBreak/>
              <w:t>The final project listing and finalization of tiered funding</w:t>
            </w:r>
          </w:p>
          <w:p w14:paraId="0973DE5D" w14:textId="77777777" w:rsidR="00952476" w:rsidRPr="00952476" w:rsidRDefault="00952476" w:rsidP="00952476">
            <w:pPr>
              <w:spacing w:after="0" w:line="240" w:lineRule="auto"/>
              <w:rPr>
                <w:rFonts w:ascii="Arial" w:hAnsi="Arial" w:cs="Arial"/>
              </w:rPr>
            </w:pPr>
            <w:r w:rsidRPr="00952476">
              <w:rPr>
                <w:rFonts w:ascii="Arial" w:hAnsi="Arial" w:cs="Arial"/>
              </w:rPr>
              <w:t>Tier One-</w:t>
            </w:r>
          </w:p>
          <w:p w14:paraId="3D26455D"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DWS: $36,000</w:t>
            </w:r>
          </w:p>
          <w:p w14:paraId="003FE7BE"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PCHA: $300,922</w:t>
            </w:r>
          </w:p>
          <w:p w14:paraId="2EAA072B"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PCHA Expansion: $44,088</w:t>
            </w:r>
          </w:p>
          <w:p w14:paraId="4BE1B75E"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GSO: $49,125</w:t>
            </w:r>
          </w:p>
          <w:p w14:paraId="2D446299"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HAUC Leasing: $77,805</w:t>
            </w:r>
          </w:p>
          <w:p w14:paraId="33874C11" w14:textId="4607BB30"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 xml:space="preserve">HAUC </w:t>
            </w:r>
            <w:r w:rsidR="00FC2DF0">
              <w:rPr>
                <w:rFonts w:ascii="Arial" w:hAnsi="Arial" w:cs="Arial"/>
              </w:rPr>
              <w:t xml:space="preserve">Leasing Expansion: </w:t>
            </w:r>
            <w:r w:rsidR="00BF4016">
              <w:rPr>
                <w:rFonts w:ascii="Arial" w:hAnsi="Arial" w:cs="Arial"/>
              </w:rPr>
              <w:t>$44,088</w:t>
            </w:r>
          </w:p>
          <w:p w14:paraId="687E02C3"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HAUC Shelter Plus Care: $331,480</w:t>
            </w:r>
          </w:p>
          <w:p w14:paraId="453CE3D5" w14:textId="5661D70C" w:rsidR="00952476" w:rsidRPr="00952476" w:rsidRDefault="00FC2DF0" w:rsidP="00952476">
            <w:pPr>
              <w:pStyle w:val="ListParagraph"/>
              <w:numPr>
                <w:ilvl w:val="0"/>
                <w:numId w:val="5"/>
              </w:numPr>
              <w:spacing w:after="0" w:line="240" w:lineRule="auto"/>
              <w:contextualSpacing/>
              <w:rPr>
                <w:rFonts w:ascii="Arial" w:hAnsi="Arial" w:cs="Arial"/>
              </w:rPr>
            </w:pPr>
            <w:r>
              <w:rPr>
                <w:rFonts w:ascii="Arial" w:hAnsi="Arial" w:cs="Arial"/>
              </w:rPr>
              <w:t>CASFB/Peace House: $69,741</w:t>
            </w:r>
          </w:p>
          <w:p w14:paraId="4BFD38EC" w14:textId="77777777" w:rsidR="00952476" w:rsidRPr="00952476" w:rsidRDefault="00952476" w:rsidP="00952476">
            <w:pPr>
              <w:spacing w:after="0" w:line="240" w:lineRule="auto"/>
              <w:rPr>
                <w:rFonts w:ascii="Arial" w:hAnsi="Arial" w:cs="Arial"/>
              </w:rPr>
            </w:pPr>
            <w:r w:rsidRPr="00952476">
              <w:rPr>
                <w:rFonts w:ascii="Arial" w:hAnsi="Arial" w:cs="Arial"/>
              </w:rPr>
              <w:t>Tier Two-</w:t>
            </w:r>
          </w:p>
          <w:p w14:paraId="4C7D87B5" w14:textId="77777777" w:rsidR="00952476" w:rsidRPr="00952476" w:rsidRDefault="00952476" w:rsidP="00952476">
            <w:pPr>
              <w:spacing w:after="0" w:line="240" w:lineRule="auto"/>
              <w:rPr>
                <w:rFonts w:ascii="Arial" w:hAnsi="Arial" w:cs="Arial"/>
              </w:rPr>
            </w:pPr>
            <w:r w:rsidRPr="00952476">
              <w:rPr>
                <w:rFonts w:ascii="Arial" w:hAnsi="Arial" w:cs="Arial"/>
              </w:rPr>
              <w:tab/>
              <w:t>CASFB/Peace House: $4,831</w:t>
            </w:r>
          </w:p>
          <w:p w14:paraId="06CBF9A8"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CASFB SSO: $69,001</w:t>
            </w:r>
          </w:p>
          <w:p w14:paraId="5A355FC5"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CASFB RRH Youth II: $42,034</w:t>
            </w:r>
          </w:p>
          <w:p w14:paraId="4CA7FC2E" w14:textId="77777777" w:rsidR="00952476" w:rsidRPr="00952476" w:rsidRDefault="00952476" w:rsidP="00952476">
            <w:pPr>
              <w:pStyle w:val="ListParagraph"/>
              <w:numPr>
                <w:ilvl w:val="0"/>
                <w:numId w:val="5"/>
              </w:numPr>
              <w:spacing w:after="0" w:line="240" w:lineRule="auto"/>
              <w:contextualSpacing/>
              <w:rPr>
                <w:rFonts w:ascii="Arial" w:hAnsi="Arial" w:cs="Arial"/>
              </w:rPr>
            </w:pPr>
            <w:r w:rsidRPr="00952476">
              <w:rPr>
                <w:rFonts w:ascii="Arial" w:hAnsi="Arial" w:cs="Arial"/>
              </w:rPr>
              <w:t>CASFB RRH Youth I: $28,844</w:t>
            </w:r>
          </w:p>
          <w:p w14:paraId="32F17E92" w14:textId="1BDF8915" w:rsidR="00CB6162" w:rsidRPr="00992F53" w:rsidRDefault="00BF4016" w:rsidP="00952476">
            <w:pPr>
              <w:pStyle w:val="ListParagraph"/>
              <w:numPr>
                <w:ilvl w:val="0"/>
                <w:numId w:val="5"/>
              </w:numPr>
              <w:spacing w:after="0" w:line="240" w:lineRule="auto"/>
              <w:contextualSpacing/>
              <w:rPr>
                <w:rFonts w:ascii="Arial" w:hAnsi="Arial" w:cs="Arial"/>
              </w:rPr>
            </w:pPr>
            <w:r>
              <w:rPr>
                <w:rFonts w:ascii="Arial" w:hAnsi="Arial" w:cs="Arial"/>
              </w:rPr>
              <w:t>CWCIC: $6,409</w:t>
            </w:r>
          </w:p>
        </w:tc>
      </w:tr>
      <w:tr w:rsidR="00CB6162" w:rsidRPr="008B0B79" w14:paraId="043642BD" w14:textId="77777777" w:rsidTr="00CB6162">
        <w:tc>
          <w:tcPr>
            <w:tcW w:w="9265" w:type="dxa"/>
          </w:tcPr>
          <w:p w14:paraId="5BB8C037" w14:textId="77777777" w:rsidR="00CB6162" w:rsidRDefault="00CB6162" w:rsidP="006726E6">
            <w:pPr>
              <w:spacing w:line="240" w:lineRule="auto"/>
              <w:contextualSpacing/>
              <w:rPr>
                <w:rFonts w:ascii="Arial" w:hAnsi="Arial" w:cs="Arial"/>
                <w:b/>
              </w:rPr>
            </w:pPr>
            <w:r>
              <w:rPr>
                <w:rFonts w:ascii="Arial" w:hAnsi="Arial" w:cs="Arial"/>
                <w:b/>
              </w:rPr>
              <w:t>Voted Project Listing</w:t>
            </w:r>
          </w:p>
          <w:p w14:paraId="781CAED3" w14:textId="62D9A47B" w:rsidR="00CB6162" w:rsidRDefault="00CB6162" w:rsidP="006726E6">
            <w:pPr>
              <w:spacing w:line="240" w:lineRule="auto"/>
              <w:contextualSpacing/>
              <w:rPr>
                <w:rFonts w:ascii="Arial" w:hAnsi="Arial" w:cs="Arial"/>
              </w:rPr>
            </w:pPr>
            <w:r>
              <w:rPr>
                <w:rFonts w:ascii="Arial" w:hAnsi="Arial" w:cs="Arial"/>
              </w:rPr>
              <w:t xml:space="preserve">Stephanie Willmore asked the committee </w:t>
            </w:r>
            <w:r w:rsidR="00C96600">
              <w:rPr>
                <w:rFonts w:ascii="Arial" w:hAnsi="Arial" w:cs="Arial"/>
              </w:rPr>
              <w:t>to vote by full consensus on the following ranking:</w:t>
            </w:r>
          </w:p>
          <w:p w14:paraId="134634F6" w14:textId="65777678" w:rsidR="00CB6162" w:rsidRDefault="00CB6162" w:rsidP="006726E6">
            <w:pPr>
              <w:spacing w:line="240" w:lineRule="auto"/>
              <w:contextualSpacing/>
              <w:rPr>
                <w:rFonts w:ascii="Arial" w:hAnsi="Arial" w:cs="Arial"/>
              </w:rPr>
            </w:pPr>
            <w:r>
              <w:rPr>
                <w:rFonts w:ascii="Arial" w:hAnsi="Arial" w:cs="Arial"/>
              </w:rPr>
              <w:t xml:space="preserve">1. That the final project listing be ranked as follows: </w:t>
            </w:r>
          </w:p>
          <w:p w14:paraId="1AE8EA72" w14:textId="49090CED" w:rsidR="00CB6162" w:rsidRDefault="00CB6162" w:rsidP="006726E6">
            <w:pPr>
              <w:spacing w:line="240" w:lineRule="auto"/>
              <w:contextualSpacing/>
              <w:rPr>
                <w:rFonts w:ascii="Arial" w:hAnsi="Arial" w:cs="Arial"/>
              </w:rPr>
            </w:pPr>
            <w:r>
              <w:rPr>
                <w:rFonts w:ascii="Arial" w:hAnsi="Arial" w:cs="Arial"/>
              </w:rPr>
              <w:t>TIER 1: 1)</w:t>
            </w:r>
            <w:r w:rsidR="00706A56">
              <w:rPr>
                <w:rFonts w:ascii="Arial" w:hAnsi="Arial" w:cs="Arial"/>
              </w:rPr>
              <w:t xml:space="preserve"> DWS</w:t>
            </w:r>
            <w:r>
              <w:rPr>
                <w:rFonts w:ascii="Arial" w:hAnsi="Arial" w:cs="Arial"/>
              </w:rPr>
              <w:t xml:space="preserve">, 2) PCHA, 3) </w:t>
            </w:r>
            <w:r w:rsidR="00706A56">
              <w:rPr>
                <w:rFonts w:ascii="Arial" w:hAnsi="Arial" w:cs="Arial"/>
              </w:rPr>
              <w:t>PCHA Expansion,</w:t>
            </w:r>
            <w:r>
              <w:rPr>
                <w:rFonts w:ascii="Arial" w:hAnsi="Arial" w:cs="Arial"/>
              </w:rPr>
              <w:t xml:space="preserve"> 4) </w:t>
            </w:r>
            <w:r w:rsidR="00706A56">
              <w:rPr>
                <w:rFonts w:ascii="Arial" w:hAnsi="Arial" w:cs="Arial"/>
              </w:rPr>
              <w:t>GSO</w:t>
            </w:r>
            <w:r>
              <w:rPr>
                <w:rFonts w:ascii="Arial" w:hAnsi="Arial" w:cs="Arial"/>
              </w:rPr>
              <w:t xml:space="preserve">, 5) </w:t>
            </w:r>
            <w:r w:rsidR="00706A56">
              <w:rPr>
                <w:rFonts w:ascii="Arial" w:hAnsi="Arial" w:cs="Arial"/>
              </w:rPr>
              <w:t>HAUC Leasing</w:t>
            </w:r>
            <w:r>
              <w:rPr>
                <w:rFonts w:ascii="Arial" w:hAnsi="Arial" w:cs="Arial"/>
              </w:rPr>
              <w:t xml:space="preserve">, 6) </w:t>
            </w:r>
            <w:r w:rsidR="00706A56">
              <w:rPr>
                <w:rFonts w:ascii="Arial" w:hAnsi="Arial" w:cs="Arial"/>
              </w:rPr>
              <w:t>HAUC Leasing Expansion, 7) HAUC Shelter Plus Care, 8) CASFB/Peace House</w:t>
            </w:r>
            <w:r>
              <w:rPr>
                <w:rFonts w:ascii="Arial" w:hAnsi="Arial" w:cs="Arial"/>
              </w:rPr>
              <w:t>; TIER 2: CASFB</w:t>
            </w:r>
            <w:r w:rsidR="00706A56">
              <w:rPr>
                <w:rFonts w:ascii="Arial" w:hAnsi="Arial" w:cs="Arial"/>
              </w:rPr>
              <w:t>/Peace House Split funding, 9) CASFB</w:t>
            </w:r>
            <w:r>
              <w:rPr>
                <w:rFonts w:ascii="Arial" w:hAnsi="Arial" w:cs="Arial"/>
              </w:rPr>
              <w:t xml:space="preserve"> SSO</w:t>
            </w:r>
            <w:r w:rsidR="00706A56">
              <w:rPr>
                <w:rFonts w:ascii="Arial" w:hAnsi="Arial" w:cs="Arial"/>
              </w:rPr>
              <w:t>, 10) CASFB RRH Youth II, 11) CASFB RRH Youth I, 12) CWCIC</w:t>
            </w:r>
            <w:r>
              <w:rPr>
                <w:rFonts w:ascii="Arial" w:hAnsi="Arial" w:cs="Arial"/>
              </w:rPr>
              <w:t xml:space="preserve">. </w:t>
            </w:r>
            <w:r w:rsidRPr="006726E6">
              <w:rPr>
                <w:rFonts w:ascii="Arial" w:hAnsi="Arial" w:cs="Arial"/>
              </w:rPr>
              <w:t xml:space="preserve"> </w:t>
            </w:r>
          </w:p>
          <w:p w14:paraId="4861CE74" w14:textId="1CF21D56" w:rsidR="00CB6162" w:rsidRDefault="00C96600" w:rsidP="00FE0C11">
            <w:pPr>
              <w:spacing w:line="240" w:lineRule="auto"/>
              <w:contextualSpacing/>
              <w:rPr>
                <w:rFonts w:ascii="Arial" w:hAnsi="Arial" w:cs="Arial"/>
              </w:rPr>
            </w:pPr>
            <w:r>
              <w:rPr>
                <w:rFonts w:ascii="Arial" w:hAnsi="Arial" w:cs="Arial"/>
              </w:rPr>
              <w:t>Committee members were unanimous in this ranking.</w:t>
            </w:r>
          </w:p>
          <w:p w14:paraId="5D3D894E" w14:textId="0F5C300E" w:rsidR="00CB6162" w:rsidRPr="006726E6" w:rsidRDefault="00CB6162" w:rsidP="00FE0C11">
            <w:pPr>
              <w:spacing w:line="240" w:lineRule="auto"/>
              <w:contextualSpacing/>
              <w:rPr>
                <w:rFonts w:ascii="Arial" w:hAnsi="Arial" w:cs="Arial"/>
              </w:rPr>
            </w:pPr>
          </w:p>
        </w:tc>
      </w:tr>
      <w:tr w:rsidR="00CB6162" w:rsidRPr="008B0B79" w14:paraId="0C367AAD" w14:textId="77777777" w:rsidTr="00CB6162">
        <w:tc>
          <w:tcPr>
            <w:tcW w:w="9265" w:type="dxa"/>
          </w:tcPr>
          <w:p w14:paraId="30AB08D4" w14:textId="6AFFF063" w:rsidR="00CB6162" w:rsidRPr="008B0B79" w:rsidRDefault="00FC2DF0" w:rsidP="005E57EE">
            <w:pPr>
              <w:spacing w:line="240" w:lineRule="auto"/>
              <w:contextualSpacing/>
              <w:rPr>
                <w:rFonts w:ascii="Arial" w:hAnsi="Arial" w:cs="Arial"/>
                <w:b/>
              </w:rPr>
            </w:pPr>
            <w:r>
              <w:rPr>
                <w:rFonts w:ascii="Arial" w:hAnsi="Arial" w:cs="Arial"/>
                <w:b/>
              </w:rPr>
              <w:t>Adjourn</w:t>
            </w:r>
          </w:p>
        </w:tc>
      </w:tr>
      <w:tr w:rsidR="00FC2DF0" w:rsidRPr="008B0B79" w14:paraId="1E9A2AE5" w14:textId="77777777" w:rsidTr="00CB6162">
        <w:tc>
          <w:tcPr>
            <w:tcW w:w="9265" w:type="dxa"/>
          </w:tcPr>
          <w:p w14:paraId="19C35B57" w14:textId="395D6A91" w:rsidR="00FC2DF0" w:rsidRDefault="00FC2DF0" w:rsidP="005E57EE">
            <w:pPr>
              <w:spacing w:line="240" w:lineRule="auto"/>
              <w:contextualSpacing/>
              <w:rPr>
                <w:rFonts w:ascii="Arial" w:hAnsi="Arial" w:cs="Arial"/>
                <w:b/>
              </w:rPr>
            </w:pPr>
            <w:r>
              <w:rPr>
                <w:rFonts w:ascii="Arial" w:hAnsi="Arial" w:cs="Arial"/>
                <w:b/>
              </w:rPr>
              <w:t>Amendment to Original Project Listing</w:t>
            </w:r>
          </w:p>
          <w:p w14:paraId="61154ACD" w14:textId="593989EE" w:rsidR="00FC2DF0" w:rsidRDefault="00FC2DF0" w:rsidP="005E57EE">
            <w:pPr>
              <w:spacing w:line="240" w:lineRule="auto"/>
              <w:contextualSpacing/>
              <w:rPr>
                <w:rFonts w:ascii="Arial" w:hAnsi="Arial" w:cs="Arial"/>
              </w:rPr>
            </w:pPr>
            <w:r>
              <w:rPr>
                <w:rFonts w:ascii="Arial" w:hAnsi="Arial" w:cs="Arial"/>
              </w:rPr>
              <w:lastRenderedPageBreak/>
              <w:t xml:space="preserve">On September 5, 2017, all agencies were notified of the Rank and Review results. After some deliberation, Center for Women and Children in Crisis elected to formally withdraw their application from the priority listing on September 12, 2017. The Rank and Review Committee was immediately consulted via email to inquire about the extra $6,409 that was available from the permanent housing bonus due to the change </w:t>
            </w:r>
            <w:r w:rsidR="00D40725">
              <w:rPr>
                <w:rFonts w:ascii="Arial" w:hAnsi="Arial" w:cs="Arial"/>
              </w:rPr>
              <w:t xml:space="preserve">in </w:t>
            </w:r>
            <w:r>
              <w:rPr>
                <w:rFonts w:ascii="Arial" w:hAnsi="Arial" w:cs="Arial"/>
              </w:rPr>
              <w:t xml:space="preserve">the priority listing.  On September 13, 2017, the committee unanimously decided to allocate half of the funding to both remaining permanent housing bonus </w:t>
            </w:r>
            <w:r w:rsidR="00D40725">
              <w:rPr>
                <w:rFonts w:ascii="Arial" w:hAnsi="Arial" w:cs="Arial"/>
              </w:rPr>
              <w:t xml:space="preserve">new projects, submitted by the housing authorities. All </w:t>
            </w:r>
            <w:r>
              <w:rPr>
                <w:rFonts w:ascii="Arial" w:hAnsi="Arial" w:cs="Arial"/>
              </w:rPr>
              <w:t>projects remained in the same ranking order</w:t>
            </w:r>
            <w:r w:rsidR="00D40725">
              <w:rPr>
                <w:rFonts w:ascii="Arial" w:hAnsi="Arial" w:cs="Arial"/>
              </w:rPr>
              <w:t xml:space="preserve">, </w:t>
            </w:r>
            <w:r>
              <w:rPr>
                <w:rFonts w:ascii="Arial" w:hAnsi="Arial" w:cs="Arial"/>
              </w:rPr>
              <w:t>Community Action Services and Food Bank</w:t>
            </w:r>
            <w:r w:rsidR="00D40725">
              <w:rPr>
                <w:rFonts w:ascii="Arial" w:hAnsi="Arial" w:cs="Arial"/>
              </w:rPr>
              <w:t xml:space="preserve">/Peace House’s RRH project </w:t>
            </w:r>
            <w:r w:rsidR="0095220F">
              <w:rPr>
                <w:rFonts w:ascii="Arial" w:hAnsi="Arial" w:cs="Arial"/>
              </w:rPr>
              <w:t xml:space="preserve">change its amounts in Tier 1 and Tier 2. </w:t>
            </w:r>
            <w:r>
              <w:rPr>
                <w:rFonts w:ascii="Arial" w:hAnsi="Arial" w:cs="Arial"/>
              </w:rPr>
              <w:t>The updated priority listing results are as follows:</w:t>
            </w:r>
          </w:p>
          <w:p w14:paraId="7F085CDF" w14:textId="7EDFC441" w:rsidR="00FC2DF0" w:rsidRDefault="00FC2DF0" w:rsidP="005E57EE">
            <w:pPr>
              <w:spacing w:line="240" w:lineRule="auto"/>
              <w:contextualSpacing/>
              <w:rPr>
                <w:rFonts w:ascii="Arial" w:hAnsi="Arial" w:cs="Arial"/>
              </w:rPr>
            </w:pPr>
          </w:p>
          <w:p w14:paraId="6B7295EF" w14:textId="2712DFAF" w:rsidR="00FC2DF0" w:rsidRPr="00FC2DF0" w:rsidRDefault="00FC2DF0" w:rsidP="00FC2DF0">
            <w:pPr>
              <w:spacing w:line="240" w:lineRule="auto"/>
              <w:contextualSpacing/>
              <w:rPr>
                <w:rFonts w:ascii="Arial" w:hAnsi="Arial" w:cs="Arial"/>
                <w:u w:val="single"/>
              </w:rPr>
            </w:pPr>
            <w:r w:rsidRPr="00952476">
              <w:rPr>
                <w:rFonts w:ascii="Arial" w:hAnsi="Arial" w:cs="Arial"/>
              </w:rPr>
              <w:t>Tier One-</w:t>
            </w:r>
          </w:p>
          <w:p w14:paraId="25EEF28E" w14:textId="77777777" w:rsidR="00FC2DF0" w:rsidRPr="00952476" w:rsidRDefault="00FC2DF0" w:rsidP="00FC2DF0">
            <w:pPr>
              <w:pStyle w:val="ListParagraph"/>
              <w:numPr>
                <w:ilvl w:val="0"/>
                <w:numId w:val="6"/>
              </w:numPr>
              <w:spacing w:after="0" w:line="240" w:lineRule="auto"/>
              <w:contextualSpacing/>
              <w:rPr>
                <w:rFonts w:ascii="Arial" w:hAnsi="Arial" w:cs="Arial"/>
              </w:rPr>
            </w:pPr>
            <w:r w:rsidRPr="00952476">
              <w:rPr>
                <w:rFonts w:ascii="Arial" w:hAnsi="Arial" w:cs="Arial"/>
              </w:rPr>
              <w:t>DWS: $36,000</w:t>
            </w:r>
          </w:p>
          <w:p w14:paraId="5ADBE775" w14:textId="77777777" w:rsidR="00FC2DF0" w:rsidRPr="00952476" w:rsidRDefault="00FC2DF0" w:rsidP="00FC2DF0">
            <w:pPr>
              <w:pStyle w:val="ListParagraph"/>
              <w:numPr>
                <w:ilvl w:val="0"/>
                <w:numId w:val="6"/>
              </w:numPr>
              <w:spacing w:after="0" w:line="240" w:lineRule="auto"/>
              <w:contextualSpacing/>
              <w:rPr>
                <w:rFonts w:ascii="Arial" w:hAnsi="Arial" w:cs="Arial"/>
              </w:rPr>
            </w:pPr>
            <w:r w:rsidRPr="00952476">
              <w:rPr>
                <w:rFonts w:ascii="Arial" w:hAnsi="Arial" w:cs="Arial"/>
              </w:rPr>
              <w:t>PCHA: $300,922</w:t>
            </w:r>
          </w:p>
          <w:p w14:paraId="414B6459" w14:textId="1C46276A" w:rsidR="00FC2DF0" w:rsidRPr="00952476" w:rsidRDefault="00FC2DF0" w:rsidP="00FC2DF0">
            <w:pPr>
              <w:pStyle w:val="ListParagraph"/>
              <w:numPr>
                <w:ilvl w:val="0"/>
                <w:numId w:val="6"/>
              </w:numPr>
              <w:spacing w:after="0" w:line="240" w:lineRule="auto"/>
              <w:contextualSpacing/>
              <w:rPr>
                <w:rFonts w:ascii="Arial" w:hAnsi="Arial" w:cs="Arial"/>
              </w:rPr>
            </w:pPr>
            <w:r>
              <w:rPr>
                <w:rFonts w:ascii="Arial" w:hAnsi="Arial" w:cs="Arial"/>
              </w:rPr>
              <w:t>PCHA Expansion: $47,293</w:t>
            </w:r>
          </w:p>
          <w:p w14:paraId="045572F1" w14:textId="77777777" w:rsidR="00FC2DF0" w:rsidRPr="00952476" w:rsidRDefault="00FC2DF0" w:rsidP="00FC2DF0">
            <w:pPr>
              <w:pStyle w:val="ListParagraph"/>
              <w:numPr>
                <w:ilvl w:val="0"/>
                <w:numId w:val="6"/>
              </w:numPr>
              <w:spacing w:after="0" w:line="240" w:lineRule="auto"/>
              <w:contextualSpacing/>
              <w:rPr>
                <w:rFonts w:ascii="Arial" w:hAnsi="Arial" w:cs="Arial"/>
              </w:rPr>
            </w:pPr>
            <w:r w:rsidRPr="00952476">
              <w:rPr>
                <w:rFonts w:ascii="Arial" w:hAnsi="Arial" w:cs="Arial"/>
              </w:rPr>
              <w:t>GSO: $49,125</w:t>
            </w:r>
          </w:p>
          <w:p w14:paraId="5D273B66" w14:textId="77777777" w:rsidR="00FC2DF0" w:rsidRPr="00952476" w:rsidRDefault="00FC2DF0" w:rsidP="00FC2DF0">
            <w:pPr>
              <w:pStyle w:val="ListParagraph"/>
              <w:numPr>
                <w:ilvl w:val="0"/>
                <w:numId w:val="6"/>
              </w:numPr>
              <w:spacing w:after="0" w:line="240" w:lineRule="auto"/>
              <w:contextualSpacing/>
              <w:rPr>
                <w:rFonts w:ascii="Arial" w:hAnsi="Arial" w:cs="Arial"/>
              </w:rPr>
            </w:pPr>
            <w:r w:rsidRPr="00952476">
              <w:rPr>
                <w:rFonts w:ascii="Arial" w:hAnsi="Arial" w:cs="Arial"/>
              </w:rPr>
              <w:t>HAUC Leasing: $77,805</w:t>
            </w:r>
          </w:p>
          <w:p w14:paraId="451EAC91" w14:textId="436DE4F5" w:rsidR="00FC2DF0" w:rsidRPr="00952476" w:rsidRDefault="00FC2DF0" w:rsidP="00FC2DF0">
            <w:pPr>
              <w:pStyle w:val="ListParagraph"/>
              <w:numPr>
                <w:ilvl w:val="0"/>
                <w:numId w:val="6"/>
              </w:numPr>
              <w:spacing w:after="0" w:line="240" w:lineRule="auto"/>
              <w:contextualSpacing/>
              <w:rPr>
                <w:rFonts w:ascii="Arial" w:hAnsi="Arial" w:cs="Arial"/>
              </w:rPr>
            </w:pPr>
            <w:r w:rsidRPr="00952476">
              <w:rPr>
                <w:rFonts w:ascii="Arial" w:hAnsi="Arial" w:cs="Arial"/>
              </w:rPr>
              <w:t xml:space="preserve">HAUC </w:t>
            </w:r>
            <w:r>
              <w:rPr>
                <w:rFonts w:ascii="Arial" w:hAnsi="Arial" w:cs="Arial"/>
              </w:rPr>
              <w:t>Leasing Expansion: $47,292</w:t>
            </w:r>
          </w:p>
          <w:p w14:paraId="44CF21D3" w14:textId="258E4287" w:rsidR="00FC2DF0" w:rsidRPr="00952476" w:rsidRDefault="00FC2DF0" w:rsidP="00FC2DF0">
            <w:pPr>
              <w:pStyle w:val="ListParagraph"/>
              <w:numPr>
                <w:ilvl w:val="0"/>
                <w:numId w:val="6"/>
              </w:numPr>
              <w:spacing w:after="0" w:line="240" w:lineRule="auto"/>
              <w:contextualSpacing/>
              <w:rPr>
                <w:rFonts w:ascii="Arial" w:hAnsi="Arial" w:cs="Arial"/>
              </w:rPr>
            </w:pPr>
            <w:r>
              <w:rPr>
                <w:rFonts w:ascii="Arial" w:hAnsi="Arial" w:cs="Arial"/>
              </w:rPr>
              <w:t>HAUC Shelter Plus Care: $3</w:t>
            </w:r>
            <w:r w:rsidR="001918CF">
              <w:rPr>
                <w:rFonts w:ascii="Arial" w:hAnsi="Arial" w:cs="Arial"/>
              </w:rPr>
              <w:t>3</w:t>
            </w:r>
            <w:bookmarkStart w:id="0" w:name="_GoBack"/>
            <w:bookmarkEnd w:id="0"/>
            <w:r w:rsidR="00B319D2">
              <w:rPr>
                <w:rFonts w:ascii="Arial" w:hAnsi="Arial" w:cs="Arial"/>
              </w:rPr>
              <w:t>1</w:t>
            </w:r>
            <w:r w:rsidRPr="00952476">
              <w:rPr>
                <w:rFonts w:ascii="Arial" w:hAnsi="Arial" w:cs="Arial"/>
              </w:rPr>
              <w:t>,480</w:t>
            </w:r>
          </w:p>
          <w:p w14:paraId="239F8542" w14:textId="387E3BDB" w:rsidR="00FC2DF0" w:rsidRPr="009B4B92" w:rsidRDefault="0095220F" w:rsidP="00FC2DF0">
            <w:pPr>
              <w:pStyle w:val="ListParagraph"/>
              <w:numPr>
                <w:ilvl w:val="0"/>
                <w:numId w:val="6"/>
              </w:numPr>
              <w:spacing w:after="0" w:line="240" w:lineRule="auto"/>
              <w:contextualSpacing/>
              <w:rPr>
                <w:rFonts w:ascii="Arial" w:hAnsi="Arial" w:cs="Arial"/>
              </w:rPr>
            </w:pPr>
            <w:r>
              <w:rPr>
                <w:rFonts w:ascii="Arial" w:hAnsi="Arial" w:cs="Arial"/>
              </w:rPr>
              <w:t>CASFB/Peace House: $59,279</w:t>
            </w:r>
          </w:p>
          <w:p w14:paraId="39C80D05" w14:textId="540EB5CF" w:rsidR="00FC2DF0" w:rsidRDefault="0095220F" w:rsidP="00FC2DF0">
            <w:pPr>
              <w:spacing w:after="0" w:line="240" w:lineRule="auto"/>
              <w:rPr>
                <w:rFonts w:ascii="Arial" w:hAnsi="Arial" w:cs="Arial"/>
              </w:rPr>
            </w:pPr>
            <w:r>
              <w:rPr>
                <w:rFonts w:ascii="Arial" w:hAnsi="Arial" w:cs="Arial"/>
              </w:rPr>
              <w:t xml:space="preserve">      </w:t>
            </w:r>
            <w:r w:rsidR="009B4B92">
              <w:rPr>
                <w:rFonts w:ascii="Arial" w:hAnsi="Arial" w:cs="Arial"/>
              </w:rPr>
              <w:t xml:space="preserve">.   </w:t>
            </w:r>
          </w:p>
          <w:p w14:paraId="1F029E63" w14:textId="5361A8A7" w:rsidR="009B4B92" w:rsidRDefault="009B4B92" w:rsidP="00FC2DF0">
            <w:pPr>
              <w:spacing w:after="0" w:line="240" w:lineRule="auto"/>
              <w:rPr>
                <w:rFonts w:ascii="Arial" w:hAnsi="Arial" w:cs="Arial"/>
              </w:rPr>
            </w:pPr>
            <w:r>
              <w:rPr>
                <w:rFonts w:ascii="Arial" w:hAnsi="Arial" w:cs="Arial"/>
              </w:rPr>
              <w:t>Tier Two-</w:t>
            </w:r>
          </w:p>
          <w:p w14:paraId="6490026E" w14:textId="0D67E30B" w:rsidR="0095220F" w:rsidRPr="00952476" w:rsidRDefault="0095220F" w:rsidP="00FC2DF0">
            <w:pPr>
              <w:spacing w:after="0" w:line="240" w:lineRule="auto"/>
              <w:rPr>
                <w:rFonts w:ascii="Arial" w:hAnsi="Arial" w:cs="Arial"/>
              </w:rPr>
            </w:pPr>
            <w:r>
              <w:rPr>
                <w:rFonts w:ascii="Arial" w:hAnsi="Arial" w:cs="Arial"/>
              </w:rPr>
              <w:t xml:space="preserve">      8. CAFSB/Peace House: $15,293 </w:t>
            </w:r>
          </w:p>
          <w:p w14:paraId="4AA83CB3" w14:textId="70B65CAF" w:rsidR="00FC2DF0" w:rsidRDefault="0095220F" w:rsidP="00FC2DF0">
            <w:pPr>
              <w:pStyle w:val="ListParagraph"/>
              <w:numPr>
                <w:ilvl w:val="0"/>
                <w:numId w:val="6"/>
              </w:numPr>
              <w:spacing w:after="0" w:line="240" w:lineRule="auto"/>
              <w:contextualSpacing/>
              <w:rPr>
                <w:rFonts w:ascii="Arial" w:hAnsi="Arial" w:cs="Arial"/>
              </w:rPr>
            </w:pPr>
            <w:r>
              <w:rPr>
                <w:rFonts w:ascii="Arial" w:hAnsi="Arial" w:cs="Arial"/>
              </w:rPr>
              <w:t>CASFB SSO: $69,001</w:t>
            </w:r>
          </w:p>
          <w:p w14:paraId="518B19B1" w14:textId="4C34C21F" w:rsidR="009B4B92" w:rsidRDefault="001D7254" w:rsidP="00FC2DF0">
            <w:pPr>
              <w:pStyle w:val="ListParagraph"/>
              <w:numPr>
                <w:ilvl w:val="0"/>
                <w:numId w:val="6"/>
              </w:numPr>
              <w:spacing w:after="0" w:line="240" w:lineRule="auto"/>
              <w:contextualSpacing/>
              <w:rPr>
                <w:rFonts w:ascii="Arial" w:hAnsi="Arial" w:cs="Arial"/>
              </w:rPr>
            </w:pPr>
            <w:r>
              <w:rPr>
                <w:rFonts w:ascii="Arial" w:hAnsi="Arial" w:cs="Arial"/>
              </w:rPr>
              <w:t>CASFB Youth RRH II: $42,024</w:t>
            </w:r>
          </w:p>
          <w:p w14:paraId="6D3866CC" w14:textId="22434D07" w:rsidR="00FC2DF0" w:rsidRPr="00D40725" w:rsidRDefault="001D7254" w:rsidP="005E57EE">
            <w:pPr>
              <w:pStyle w:val="ListParagraph"/>
              <w:numPr>
                <w:ilvl w:val="0"/>
                <w:numId w:val="6"/>
              </w:numPr>
              <w:spacing w:after="0" w:line="240" w:lineRule="auto"/>
              <w:contextualSpacing/>
              <w:rPr>
                <w:rFonts w:ascii="Arial" w:hAnsi="Arial" w:cs="Arial"/>
              </w:rPr>
            </w:pPr>
            <w:r>
              <w:rPr>
                <w:rFonts w:ascii="Arial" w:hAnsi="Arial" w:cs="Arial"/>
              </w:rPr>
              <w:t>CASFB Youth RRH: $28,844</w:t>
            </w:r>
          </w:p>
          <w:p w14:paraId="6B71E562" w14:textId="77777777" w:rsidR="00FC2DF0" w:rsidRDefault="00FC2DF0" w:rsidP="005E57EE">
            <w:pPr>
              <w:spacing w:line="240" w:lineRule="auto"/>
              <w:contextualSpacing/>
              <w:rPr>
                <w:rFonts w:ascii="Arial" w:hAnsi="Arial" w:cs="Arial"/>
                <w:b/>
              </w:rPr>
            </w:pPr>
          </w:p>
          <w:p w14:paraId="28BABABA" w14:textId="27CC80B2" w:rsidR="00FC2DF0" w:rsidRPr="008B0B79" w:rsidRDefault="00FC2DF0" w:rsidP="005E57EE">
            <w:pPr>
              <w:spacing w:line="240" w:lineRule="auto"/>
              <w:contextualSpacing/>
              <w:rPr>
                <w:rFonts w:ascii="Arial" w:hAnsi="Arial" w:cs="Arial"/>
                <w:b/>
              </w:rPr>
            </w:pPr>
          </w:p>
        </w:tc>
      </w:tr>
      <w:tr w:rsidR="0095220F" w:rsidRPr="008B0B79" w14:paraId="6AECBC4B" w14:textId="77777777" w:rsidTr="00CB6162">
        <w:tc>
          <w:tcPr>
            <w:tcW w:w="9265" w:type="dxa"/>
          </w:tcPr>
          <w:p w14:paraId="17A3331E" w14:textId="0939402B" w:rsidR="0095220F" w:rsidRDefault="0095220F" w:rsidP="005E57EE">
            <w:pPr>
              <w:spacing w:line="240" w:lineRule="auto"/>
              <w:contextualSpacing/>
              <w:rPr>
                <w:rFonts w:ascii="Arial" w:hAnsi="Arial" w:cs="Arial"/>
                <w:b/>
              </w:rPr>
            </w:pPr>
          </w:p>
        </w:tc>
      </w:tr>
    </w:tbl>
    <w:p w14:paraId="210CEBCF" w14:textId="77777777" w:rsidR="008561AD" w:rsidRPr="00700E8F" w:rsidRDefault="008561AD" w:rsidP="008561AD">
      <w:pPr>
        <w:contextualSpacing/>
        <w:rPr>
          <w:rFonts w:ascii="Arial" w:hAnsi="Arial" w:cs="Arial"/>
          <w:b/>
        </w:rPr>
      </w:pPr>
    </w:p>
    <w:p w14:paraId="07BF1714" w14:textId="77777777" w:rsidR="008561AD" w:rsidRPr="00AA58C0" w:rsidRDefault="008561AD" w:rsidP="008561AD">
      <w:pPr>
        <w:contextualSpacing/>
        <w:rPr>
          <w:rFonts w:ascii="Arial" w:hAnsi="Arial" w:cs="Arial"/>
          <w:sz w:val="24"/>
          <w:szCs w:val="24"/>
        </w:rPr>
      </w:pPr>
    </w:p>
    <w:p w14:paraId="773BBFF7" w14:textId="06BD9E24" w:rsidR="00297CC8" w:rsidRDefault="00297CC8"/>
    <w:sectPr w:rsidR="00297CC8" w:rsidSect="00E76D75">
      <w:head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72E84" w14:textId="77777777" w:rsidR="0051027B" w:rsidRDefault="0051027B">
      <w:pPr>
        <w:spacing w:after="0" w:line="240" w:lineRule="auto"/>
      </w:pPr>
      <w:r>
        <w:separator/>
      </w:r>
    </w:p>
  </w:endnote>
  <w:endnote w:type="continuationSeparator" w:id="0">
    <w:p w14:paraId="675D58D2" w14:textId="77777777" w:rsidR="0051027B" w:rsidRDefault="0051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5246" w14:textId="77777777" w:rsidR="0051027B" w:rsidRDefault="0051027B">
      <w:pPr>
        <w:spacing w:after="0" w:line="240" w:lineRule="auto"/>
      </w:pPr>
      <w:r>
        <w:separator/>
      </w:r>
    </w:p>
  </w:footnote>
  <w:footnote w:type="continuationSeparator" w:id="0">
    <w:p w14:paraId="7C198EB3" w14:textId="77777777" w:rsidR="0051027B" w:rsidRDefault="0051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4FF5" w14:textId="77777777" w:rsidR="008B0B79" w:rsidRDefault="00B87020">
    <w:pPr>
      <w:pStyle w:val="Header"/>
    </w:pPr>
    <w:r>
      <w:rPr>
        <w:noProof/>
      </w:rPr>
      <w:drawing>
        <wp:inline distT="0" distB="0" distL="0" distR="0" wp14:anchorId="0B998E22" wp14:editId="1CEE753C">
          <wp:extent cx="6099175" cy="931545"/>
          <wp:effectExtent l="0" t="0" r="0"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917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766"/>
    <w:multiLevelType w:val="hybridMultilevel"/>
    <w:tmpl w:val="44C838D0"/>
    <w:lvl w:ilvl="0" w:tplc="D964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1FEA"/>
    <w:multiLevelType w:val="hybridMultilevel"/>
    <w:tmpl w:val="1CC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8AD"/>
    <w:multiLevelType w:val="hybridMultilevel"/>
    <w:tmpl w:val="F3AA62F2"/>
    <w:lvl w:ilvl="0" w:tplc="0ECE533A">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53E1E"/>
    <w:multiLevelType w:val="hybridMultilevel"/>
    <w:tmpl w:val="9CF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49AB"/>
    <w:multiLevelType w:val="hybridMultilevel"/>
    <w:tmpl w:val="1CC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E5999"/>
    <w:multiLevelType w:val="hybridMultilevel"/>
    <w:tmpl w:val="0ADCF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AD"/>
    <w:rsid w:val="00012CB4"/>
    <w:rsid w:val="00057152"/>
    <w:rsid w:val="00067E22"/>
    <w:rsid w:val="000A73DD"/>
    <w:rsid w:val="000E7D02"/>
    <w:rsid w:val="001473C1"/>
    <w:rsid w:val="001918CF"/>
    <w:rsid w:val="001D7254"/>
    <w:rsid w:val="001E39BB"/>
    <w:rsid w:val="00237D56"/>
    <w:rsid w:val="00290B0C"/>
    <w:rsid w:val="00297CC8"/>
    <w:rsid w:val="00365DD6"/>
    <w:rsid w:val="00367F52"/>
    <w:rsid w:val="0037762A"/>
    <w:rsid w:val="003C6C26"/>
    <w:rsid w:val="003F4718"/>
    <w:rsid w:val="004A5438"/>
    <w:rsid w:val="004B59F1"/>
    <w:rsid w:val="004C5AF0"/>
    <w:rsid w:val="004E2919"/>
    <w:rsid w:val="004F728B"/>
    <w:rsid w:val="0051027B"/>
    <w:rsid w:val="0057184A"/>
    <w:rsid w:val="00591476"/>
    <w:rsid w:val="005E1313"/>
    <w:rsid w:val="006726E6"/>
    <w:rsid w:val="00706A56"/>
    <w:rsid w:val="00741808"/>
    <w:rsid w:val="007A2B8C"/>
    <w:rsid w:val="007E6C34"/>
    <w:rsid w:val="00855363"/>
    <w:rsid w:val="008561AD"/>
    <w:rsid w:val="008D0BE7"/>
    <w:rsid w:val="009179CF"/>
    <w:rsid w:val="0095220F"/>
    <w:rsid w:val="00952476"/>
    <w:rsid w:val="009735B0"/>
    <w:rsid w:val="00992F53"/>
    <w:rsid w:val="009B4B92"/>
    <w:rsid w:val="009F4084"/>
    <w:rsid w:val="00AE0A9A"/>
    <w:rsid w:val="00B319D2"/>
    <w:rsid w:val="00B75464"/>
    <w:rsid w:val="00B86A28"/>
    <w:rsid w:val="00B87020"/>
    <w:rsid w:val="00B9560F"/>
    <w:rsid w:val="00BF4016"/>
    <w:rsid w:val="00C00EBF"/>
    <w:rsid w:val="00C64ED8"/>
    <w:rsid w:val="00C95348"/>
    <w:rsid w:val="00C96600"/>
    <w:rsid w:val="00CA60D6"/>
    <w:rsid w:val="00CB6162"/>
    <w:rsid w:val="00D40725"/>
    <w:rsid w:val="00D54AD7"/>
    <w:rsid w:val="00DC1C72"/>
    <w:rsid w:val="00E33629"/>
    <w:rsid w:val="00E57DF6"/>
    <w:rsid w:val="00E75516"/>
    <w:rsid w:val="00E76D75"/>
    <w:rsid w:val="00ED1FFC"/>
    <w:rsid w:val="00F069EB"/>
    <w:rsid w:val="00FA6E71"/>
    <w:rsid w:val="00FC2DF0"/>
    <w:rsid w:val="00FD2A3A"/>
    <w:rsid w:val="00FE0C11"/>
    <w:rsid w:val="00FE2AAC"/>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202"/>
  <w15:chartTrackingRefBased/>
  <w15:docId w15:val="{7D2655B4-3653-40AB-B12F-6CE03361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61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AD"/>
    <w:pPr>
      <w:tabs>
        <w:tab w:val="center" w:pos="4680"/>
        <w:tab w:val="right" w:pos="9360"/>
      </w:tabs>
    </w:pPr>
  </w:style>
  <w:style w:type="character" w:customStyle="1" w:styleId="HeaderChar">
    <w:name w:val="Header Char"/>
    <w:basedOn w:val="DefaultParagraphFont"/>
    <w:link w:val="Header"/>
    <w:uiPriority w:val="99"/>
    <w:rsid w:val="008561AD"/>
    <w:rPr>
      <w:rFonts w:ascii="Calibri" w:eastAsia="Calibri" w:hAnsi="Calibri" w:cs="Times New Roman"/>
    </w:rPr>
  </w:style>
  <w:style w:type="paragraph" w:styleId="ListParagraph">
    <w:name w:val="List Paragraph"/>
    <w:basedOn w:val="Normal"/>
    <w:uiPriority w:val="34"/>
    <w:qFormat/>
    <w:rsid w:val="008561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0347">
      <w:bodyDiv w:val="1"/>
      <w:marLeft w:val="0"/>
      <w:marRight w:val="0"/>
      <w:marTop w:val="0"/>
      <w:marBottom w:val="0"/>
      <w:divBdr>
        <w:top w:val="none" w:sz="0" w:space="0" w:color="auto"/>
        <w:left w:val="none" w:sz="0" w:space="0" w:color="auto"/>
        <w:bottom w:val="none" w:sz="0" w:space="0" w:color="auto"/>
        <w:right w:val="none" w:sz="0" w:space="0" w:color="auto"/>
      </w:divBdr>
    </w:div>
    <w:div w:id="124353259">
      <w:bodyDiv w:val="1"/>
      <w:marLeft w:val="0"/>
      <w:marRight w:val="0"/>
      <w:marTop w:val="0"/>
      <w:marBottom w:val="0"/>
      <w:divBdr>
        <w:top w:val="none" w:sz="0" w:space="0" w:color="auto"/>
        <w:left w:val="none" w:sz="0" w:space="0" w:color="auto"/>
        <w:bottom w:val="none" w:sz="0" w:space="0" w:color="auto"/>
        <w:right w:val="none" w:sz="0" w:space="0" w:color="auto"/>
      </w:divBdr>
    </w:div>
    <w:div w:id="1070421057">
      <w:bodyDiv w:val="1"/>
      <w:marLeft w:val="0"/>
      <w:marRight w:val="0"/>
      <w:marTop w:val="0"/>
      <w:marBottom w:val="0"/>
      <w:divBdr>
        <w:top w:val="none" w:sz="0" w:space="0" w:color="auto"/>
        <w:left w:val="none" w:sz="0" w:space="0" w:color="auto"/>
        <w:bottom w:val="none" w:sz="0" w:space="0" w:color="auto"/>
        <w:right w:val="none" w:sz="0" w:space="0" w:color="auto"/>
      </w:divBdr>
    </w:div>
    <w:div w:id="1287783069">
      <w:bodyDiv w:val="1"/>
      <w:marLeft w:val="0"/>
      <w:marRight w:val="0"/>
      <w:marTop w:val="0"/>
      <w:marBottom w:val="0"/>
      <w:divBdr>
        <w:top w:val="none" w:sz="0" w:space="0" w:color="auto"/>
        <w:left w:val="none" w:sz="0" w:space="0" w:color="auto"/>
        <w:bottom w:val="none" w:sz="0" w:space="0" w:color="auto"/>
        <w:right w:val="none" w:sz="0" w:space="0" w:color="auto"/>
      </w:divBdr>
    </w:div>
    <w:div w:id="1677802482">
      <w:bodyDiv w:val="1"/>
      <w:marLeft w:val="0"/>
      <w:marRight w:val="0"/>
      <w:marTop w:val="0"/>
      <w:marBottom w:val="0"/>
      <w:divBdr>
        <w:top w:val="none" w:sz="0" w:space="0" w:color="auto"/>
        <w:left w:val="none" w:sz="0" w:space="0" w:color="auto"/>
        <w:bottom w:val="none" w:sz="0" w:space="0" w:color="auto"/>
        <w:right w:val="none" w:sz="0" w:space="0" w:color="auto"/>
      </w:divBdr>
    </w:div>
    <w:div w:id="1909997819">
      <w:bodyDiv w:val="1"/>
      <w:marLeft w:val="0"/>
      <w:marRight w:val="0"/>
      <w:marTop w:val="0"/>
      <w:marBottom w:val="0"/>
      <w:divBdr>
        <w:top w:val="none" w:sz="0" w:space="0" w:color="auto"/>
        <w:left w:val="none" w:sz="0" w:space="0" w:color="auto"/>
        <w:bottom w:val="none" w:sz="0" w:space="0" w:color="auto"/>
        <w:right w:val="none" w:sz="0" w:space="0" w:color="auto"/>
      </w:divBdr>
    </w:div>
    <w:div w:id="20286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Willmore</dc:creator>
  <cp:keywords/>
  <dc:description/>
  <cp:lastModifiedBy>Brent</cp:lastModifiedBy>
  <cp:revision>13</cp:revision>
  <dcterms:created xsi:type="dcterms:W3CDTF">2017-09-07T05:36:00Z</dcterms:created>
  <dcterms:modified xsi:type="dcterms:W3CDTF">2017-09-14T05:14:00Z</dcterms:modified>
</cp:coreProperties>
</file>